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7E9DF"/>
  <w:body>
    <w:p w:rsidR="005D2D04" w:rsidRDefault="005D2D04">
      <w:pPr>
        <w:tabs>
          <w:tab w:val="center" w:pos="11280"/>
        </w:tabs>
        <w:jc w:val="center"/>
        <w:rPr>
          <w:color w:val="008000"/>
        </w:rPr>
      </w:pPr>
    </w:p>
    <w:tbl>
      <w:tblPr>
        <w:tblW w:w="10472" w:type="dxa"/>
        <w:jc w:val="center"/>
        <w:tblInd w:w="230"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shd w:val="clear" w:color="auto" w:fill="EAEAEA"/>
        <w:tblLook w:val="01E0" w:firstRow="1" w:lastRow="1" w:firstColumn="1" w:lastColumn="1" w:noHBand="0" w:noVBand="0"/>
      </w:tblPr>
      <w:tblGrid>
        <w:gridCol w:w="10472"/>
      </w:tblGrid>
      <w:tr w:rsidR="0003011A" w:rsidTr="00660DAE">
        <w:trPr>
          <w:trHeight w:val="1620"/>
          <w:jc w:val="center"/>
        </w:trPr>
        <w:tc>
          <w:tcPr>
            <w:tcW w:w="5000" w:type="pct"/>
            <w:tcBorders>
              <w:top w:val="single" w:sz="4" w:space="0" w:color="EAEAEA"/>
              <w:left w:val="single" w:sz="4" w:space="0" w:color="EAEAEA"/>
              <w:bottom w:val="single" w:sz="4" w:space="0" w:color="EAEAEA"/>
              <w:right w:val="single" w:sz="4" w:space="0" w:color="F2F2F2"/>
            </w:tcBorders>
            <w:shd w:val="clear" w:color="auto" w:fill="EAEAEA"/>
            <w:hideMark/>
          </w:tcPr>
          <w:p w:rsidR="0003011A" w:rsidRDefault="00660DAE" w:rsidP="0003011A">
            <w:pPr>
              <w:pStyle w:val="Titolo1"/>
              <w:rPr>
                <w:noProof/>
                <w:lang w:eastAsia="it-IT"/>
              </w:rPr>
            </w:pPr>
            <w:r>
              <w:rPr>
                <w:noProof/>
                <w:lang w:eastAsia="it-IT"/>
              </w:rPr>
              <w:lastRenderedPageBreak/>
              <w:drawing>
                <wp:inline distT="0" distB="0" distL="0" distR="0">
                  <wp:extent cx="4688205" cy="813435"/>
                  <wp:effectExtent l="0" t="0" r="0" b="5715"/>
                  <wp:docPr id="1" name="Immagine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8205" cy="813435"/>
                          </a:xfrm>
                          <a:prstGeom prst="rect">
                            <a:avLst/>
                          </a:prstGeom>
                          <a:noFill/>
                          <a:ln>
                            <a:noFill/>
                          </a:ln>
                        </pic:spPr>
                      </pic:pic>
                    </a:graphicData>
                  </a:graphic>
                </wp:inline>
              </w:drawing>
            </w:r>
          </w:p>
          <w:tbl>
            <w:tblPr>
              <w:tblpPr w:leftFromText="141" w:rightFromText="141" w:vertAnchor="text" w:horzAnchor="margin"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41"/>
            </w:tblGrid>
            <w:tr w:rsidR="0003011A" w:rsidTr="0003011A">
              <w:tc>
                <w:tcPr>
                  <w:tcW w:w="10141" w:type="dxa"/>
                  <w:tcBorders>
                    <w:top w:val="single" w:sz="4" w:space="0" w:color="auto"/>
                    <w:left w:val="single" w:sz="4" w:space="0" w:color="auto"/>
                    <w:bottom w:val="single" w:sz="4" w:space="0" w:color="auto"/>
                    <w:right w:val="single" w:sz="4" w:space="0" w:color="auto"/>
                  </w:tcBorders>
                  <w:shd w:val="clear" w:color="auto" w:fill="D9D9D9"/>
                  <w:hideMark/>
                </w:tcPr>
                <w:p w:rsidR="0003011A" w:rsidRDefault="0003011A" w:rsidP="0003011A">
                  <w:pPr>
                    <w:pStyle w:val="Titolo1"/>
                    <w:spacing w:before="0"/>
                    <w:rPr>
                      <w:rFonts w:ascii="Bauhaus 93" w:hAnsi="Bauhaus 93"/>
                      <w:szCs w:val="36"/>
                      <w:lang w:eastAsia="en-US"/>
                    </w:rPr>
                  </w:pPr>
                  <w:hyperlink r:id="rId6" w:history="1">
                    <w:r w:rsidRPr="00061532">
                      <w:rPr>
                        <w:rStyle w:val="Collegamentoipertestuale"/>
                        <w:color w:val="C00000"/>
                        <w:u w:val="none"/>
                      </w:rPr>
                      <w:t>HOME</w:t>
                    </w:r>
                  </w:hyperlink>
                  <w:r w:rsidRPr="00061532">
                    <w:t xml:space="preserve">  </w:t>
                  </w:r>
                  <w:r w:rsidRPr="00EB11DC">
                    <w:t xml:space="preserve">              </w:t>
                  </w:r>
                  <w:r w:rsidRPr="00EB11DC">
                    <w:rPr>
                      <w:rFonts w:ascii="Castellar" w:hAnsi="Castellar"/>
                      <w:sz w:val="28"/>
                      <w:szCs w:val="28"/>
                    </w:rPr>
                    <w:t>PRIVILEGIA NE IRROGANTO</w:t>
                  </w:r>
                  <w:r w:rsidRPr="00EB11DC">
                    <w:rPr>
                      <w:rFonts w:ascii="Mistral" w:hAnsi="Mistral"/>
                      <w:sz w:val="28"/>
                    </w:rPr>
                    <w:t xml:space="preserve">   </w:t>
                  </w:r>
                  <w:r w:rsidRPr="00EB11DC">
                    <w:t xml:space="preserve">di </w:t>
                  </w:r>
                  <w:r w:rsidRPr="00EB11DC">
                    <w:rPr>
                      <w:rFonts w:ascii="Monotype Corsiva" w:hAnsi="Monotype Corsiva"/>
                    </w:rPr>
                    <w:t>Mauro Novelli</w:t>
                  </w:r>
                  <w:r w:rsidRPr="00EB11DC">
                    <w:rPr>
                      <w:szCs w:val="58"/>
                    </w:rPr>
                    <w:t xml:space="preserve"> </w:t>
                  </w:r>
                  <w:r w:rsidRPr="00EB11DC">
                    <w:rPr>
                      <w:szCs w:val="54"/>
                    </w:rPr>
                    <w:t xml:space="preserve">       </w:t>
                  </w:r>
                  <w:r w:rsidRPr="00EB11DC">
                    <w:rPr>
                      <w:color w:val="008000"/>
                    </w:rPr>
                    <w:t xml:space="preserve"> </w:t>
                  </w:r>
                  <w:hyperlink r:id="rId7" w:history="1">
                    <w:r w:rsidRPr="00EB11DC">
                      <w:rPr>
                        <w:rStyle w:val="Collegamentoipertestuale"/>
                        <w:rFonts w:ascii="Bauhaus 93" w:hAnsi="Bauhaus 93"/>
                        <w:color w:val="7030A0"/>
                        <w:u w:val="none"/>
                        <w:lang w:eastAsia="en-US"/>
                      </w:rPr>
                      <w:t>…</w:t>
                    </w:r>
                    <w:r w:rsidRPr="00EB11DC">
                      <w:rPr>
                        <w:rStyle w:val="Collegamentoipertestuale"/>
                        <w:rFonts w:ascii="Bauhaus 93" w:hAnsi="Bauhaus 93"/>
                        <w:u w:val="none"/>
                        <w:lang w:eastAsia="en-US"/>
                      </w:rPr>
                      <w:t xml:space="preserve"> i</w:t>
                    </w:r>
                    <w:r w:rsidRPr="00EB11DC">
                      <w:rPr>
                        <w:rStyle w:val="Collegamentoipertestuale"/>
                        <w:rFonts w:ascii="Bauhaus 93" w:hAnsi="Bauhaus 93"/>
                        <w:color w:val="920000"/>
                        <w:u w:val="none"/>
                        <w:lang w:eastAsia="en-US"/>
                      </w:rPr>
                      <w:t>c</w:t>
                    </w:r>
                    <w:r w:rsidRPr="00EB11DC">
                      <w:rPr>
                        <w:rStyle w:val="Collegamentoipertestuale"/>
                        <w:rFonts w:ascii="Bauhaus 93" w:hAnsi="Bauhaus 93"/>
                        <w:color w:val="D09E00"/>
                        <w:u w:val="none"/>
                        <w:lang w:eastAsia="en-US"/>
                      </w:rPr>
                      <w:t>t</w:t>
                    </w:r>
                    <w:r w:rsidRPr="00EB11DC">
                      <w:rPr>
                        <w:rStyle w:val="Collegamentoipertestuale"/>
                        <w:rFonts w:ascii="Bauhaus 93" w:hAnsi="Bauhaus 93"/>
                        <w:color w:val="0070C0"/>
                        <w:u w:val="none"/>
                        <w:lang w:eastAsia="en-US"/>
                      </w:rPr>
                      <w:t>u</w:t>
                    </w:r>
                    <w:r w:rsidRPr="00EB11DC">
                      <w:rPr>
                        <w:rStyle w:val="Collegamentoipertestuale"/>
                        <w:rFonts w:ascii="Bauhaus 93" w:hAnsi="Bauhaus 93"/>
                        <w:color w:val="FF0000"/>
                        <w:u w:val="none"/>
                        <w:lang w:eastAsia="en-US"/>
                      </w:rPr>
                      <w:t>s</w:t>
                    </w:r>
                    <w:r w:rsidRPr="00EB11DC">
                      <w:rPr>
                        <w:rStyle w:val="Collegamentoipertestuale"/>
                        <w:rFonts w:ascii="Bauhaus 93" w:hAnsi="Bauhaus 93"/>
                        <w:u w:val="none"/>
                        <w:lang w:eastAsia="en-US"/>
                      </w:rPr>
                      <w:t xml:space="preserve"> </w:t>
                    </w:r>
                    <w:r w:rsidRPr="00EB11DC">
                      <w:rPr>
                        <w:rStyle w:val="Collegamentoipertestuale"/>
                        <w:rFonts w:ascii="Bauhaus 93" w:hAnsi="Bauhaus 93"/>
                        <w:color w:val="7030A0"/>
                        <w:u w:val="none"/>
                        <w:lang w:eastAsia="en-US"/>
                      </w:rPr>
                      <w:t>…</w:t>
                    </w:r>
                  </w:hyperlink>
                </w:p>
              </w:tc>
            </w:tr>
            <w:tr w:rsidR="0003011A" w:rsidTr="0003011A">
              <w:tc>
                <w:tcPr>
                  <w:tcW w:w="101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011A" w:rsidRPr="00061532" w:rsidRDefault="0003011A" w:rsidP="0003011A">
                  <w:pPr>
                    <w:pStyle w:val="Titolo1"/>
                    <w:spacing w:before="0"/>
                    <w:rPr>
                      <w:sz w:val="32"/>
                    </w:rPr>
                  </w:pPr>
                  <w:r>
                    <w:rPr>
                      <w:sz w:val="32"/>
                    </w:rPr>
                    <w:t xml:space="preserve">   </w:t>
                  </w:r>
                  <w:r w:rsidRPr="00061532">
                    <w:t xml:space="preserve">Documento inserito il </w:t>
                  </w:r>
                  <w:r w:rsidR="00660DAE">
                    <w:t>15-6-2012</w:t>
                  </w:r>
                </w:p>
              </w:tc>
            </w:tr>
          </w:tbl>
          <w:p w:rsidR="0003011A" w:rsidRDefault="0003011A" w:rsidP="0003011A">
            <w:pPr>
              <w:rPr>
                <w:lang w:eastAsia="it-IT"/>
              </w:rPr>
            </w:pPr>
          </w:p>
          <w:p w:rsidR="0003011A" w:rsidRDefault="0003011A" w:rsidP="0003011A">
            <w:pPr>
              <w:rPr>
                <w:lang w:eastAsia="it-IT"/>
              </w:rPr>
            </w:pPr>
          </w:p>
          <w:tbl>
            <w:tblPr>
              <w:tblpPr w:leftFromText="141" w:rightFromText="141" w:vertAnchor="text" w:horzAnchor="margin" w:tblpYSpec="inside"/>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059"/>
            </w:tblGrid>
            <w:tr w:rsidR="0003011A" w:rsidTr="0003011A">
              <w:tc>
                <w:tcPr>
                  <w:tcW w:w="10059" w:type="dxa"/>
                  <w:tcBorders>
                    <w:top w:val="single" w:sz="4" w:space="0" w:color="C0C0C0"/>
                    <w:left w:val="single" w:sz="4" w:space="0" w:color="C0C0C0"/>
                    <w:bottom w:val="single" w:sz="4" w:space="0" w:color="C0C0C0"/>
                    <w:right w:val="single" w:sz="4" w:space="0" w:color="C0C0C0"/>
                  </w:tcBorders>
                  <w:shd w:val="clear" w:color="auto" w:fill="FFFFFF"/>
                  <w:hideMark/>
                </w:tcPr>
                <w:p w:rsidR="0003011A" w:rsidRDefault="0003011A" w:rsidP="0003011A">
                  <w:pPr>
                    <w:tabs>
                      <w:tab w:val="center" w:pos="11280"/>
                    </w:tabs>
                    <w:jc w:val="center"/>
                    <w:rPr>
                      <w:rFonts w:eastAsia="Times New Roman" w:cs="Times New Roman"/>
                      <w:sz w:val="26"/>
                      <w:szCs w:val="26"/>
                    </w:rPr>
                  </w:pPr>
                </w:p>
              </w:tc>
            </w:tr>
            <w:tr w:rsidR="0003011A" w:rsidTr="0003011A">
              <w:trPr>
                <w:trHeight w:val="59"/>
              </w:trPr>
              <w:tc>
                <w:tcPr>
                  <w:tcW w:w="10059" w:type="dxa"/>
                  <w:tcBorders>
                    <w:top w:val="single" w:sz="4" w:space="0" w:color="C0C0C0"/>
                    <w:left w:val="single" w:sz="4" w:space="0" w:color="C0C0C0"/>
                    <w:bottom w:val="single" w:sz="4" w:space="0" w:color="C0C0C0"/>
                    <w:right w:val="single" w:sz="4" w:space="0" w:color="C0C0C0"/>
                  </w:tcBorders>
                  <w:shd w:val="clear" w:color="auto" w:fill="FFFFFF"/>
                </w:tcPr>
                <w:p w:rsidR="0003011A" w:rsidRPr="00EB11DC" w:rsidRDefault="0003011A" w:rsidP="0003011A">
                  <w:pPr>
                    <w:tabs>
                      <w:tab w:val="center" w:pos="11280"/>
                    </w:tabs>
                    <w:jc w:val="center"/>
                    <w:rPr>
                      <w:rFonts w:ascii="Cooper Black" w:eastAsia="Times New Roman" w:hAnsi="Cooper Black" w:cs="Times New Roman"/>
                      <w:color w:val="C00000"/>
                      <w:sz w:val="26"/>
                      <w:szCs w:val="26"/>
                    </w:rPr>
                  </w:pPr>
                  <w:r>
                    <w:rPr>
                      <w:rFonts w:eastAsia="Times New Roman" w:cs="Times New Roman"/>
                      <w:sz w:val="26"/>
                      <w:szCs w:val="26"/>
                    </w:rPr>
                    <w:t>Documenti correlati</w:t>
                  </w:r>
                </w:p>
              </w:tc>
            </w:tr>
            <w:tr w:rsidR="0003011A" w:rsidTr="0003011A">
              <w:trPr>
                <w:trHeight w:val="430"/>
              </w:trPr>
              <w:tc>
                <w:tcPr>
                  <w:tcW w:w="10059" w:type="dxa"/>
                  <w:tcBorders>
                    <w:top w:val="single" w:sz="4" w:space="0" w:color="C0C0C0"/>
                    <w:left w:val="single" w:sz="4" w:space="0" w:color="C0C0C0"/>
                    <w:bottom w:val="single" w:sz="4" w:space="0" w:color="C0C0C0"/>
                    <w:right w:val="single" w:sz="4" w:space="0" w:color="C0C0C0"/>
                  </w:tcBorders>
                  <w:shd w:val="clear" w:color="auto" w:fill="FFFFFF"/>
                </w:tcPr>
                <w:p w:rsidR="0003011A" w:rsidRPr="00EB11DC" w:rsidRDefault="0003011A" w:rsidP="0003011A">
                  <w:pPr>
                    <w:tabs>
                      <w:tab w:val="center" w:pos="11280"/>
                    </w:tabs>
                    <w:ind w:left="-256"/>
                    <w:rPr>
                      <w:rFonts w:eastAsia="Times New Roman" w:cs="Times New Roman"/>
                      <w:sz w:val="26"/>
                      <w:szCs w:val="26"/>
                    </w:rPr>
                  </w:pPr>
                </w:p>
              </w:tc>
            </w:tr>
          </w:tbl>
          <w:p w:rsidR="0003011A" w:rsidRDefault="0003011A" w:rsidP="0003011A">
            <w:pPr>
              <w:rPr>
                <w:lang w:eastAsia="it-IT"/>
              </w:rPr>
            </w:pPr>
          </w:p>
          <w:p w:rsidR="00926B23" w:rsidRDefault="00926B23" w:rsidP="00660DAE">
            <w:pPr>
              <w:jc w:val="center"/>
              <w:rPr>
                <w:sz w:val="32"/>
                <w:szCs w:val="32"/>
                <w:lang w:eastAsia="it-IT"/>
              </w:rPr>
            </w:pPr>
          </w:p>
          <w:p w:rsidR="00926B23" w:rsidRDefault="00926B23" w:rsidP="00660DAE">
            <w:pPr>
              <w:jc w:val="center"/>
              <w:rPr>
                <w:sz w:val="32"/>
                <w:szCs w:val="32"/>
                <w:lang w:eastAsia="it-IT"/>
              </w:rPr>
            </w:pPr>
          </w:p>
          <w:p w:rsidR="00660DAE" w:rsidRPr="00660DAE" w:rsidRDefault="00660DAE" w:rsidP="00660DAE">
            <w:pPr>
              <w:jc w:val="center"/>
              <w:rPr>
                <w:sz w:val="32"/>
                <w:szCs w:val="32"/>
              </w:rPr>
            </w:pPr>
            <w:r w:rsidRPr="00660DAE">
              <w:rPr>
                <w:sz w:val="32"/>
                <w:szCs w:val="32"/>
                <w:lang w:eastAsia="it-IT"/>
              </w:rPr>
              <w:t>Il Mondo.it</w:t>
            </w:r>
            <w:r>
              <w:rPr>
                <w:sz w:val="32"/>
                <w:szCs w:val="32"/>
                <w:lang w:eastAsia="it-IT"/>
              </w:rPr>
              <w:t xml:space="preserve"> </w:t>
            </w:r>
            <w:r w:rsidR="00926B23">
              <w:rPr>
                <w:sz w:val="32"/>
                <w:szCs w:val="32"/>
                <w:lang w:eastAsia="it-IT"/>
              </w:rPr>
              <w:t xml:space="preserve">    </w:t>
            </w:r>
            <w:r w:rsidRPr="00660DAE">
              <w:rPr>
                <w:sz w:val="32"/>
                <w:szCs w:val="32"/>
              </w:rPr>
              <w:t>30</w:t>
            </w:r>
            <w:r w:rsidR="00926B23">
              <w:rPr>
                <w:sz w:val="32"/>
                <w:szCs w:val="32"/>
              </w:rPr>
              <w:t>-5-</w:t>
            </w:r>
            <w:r w:rsidRPr="00660DAE">
              <w:rPr>
                <w:sz w:val="32"/>
                <w:szCs w:val="32"/>
              </w:rPr>
              <w:t>2012</w:t>
            </w:r>
          </w:p>
          <w:p w:rsidR="00660DAE" w:rsidRPr="00660DAE" w:rsidRDefault="00660DAE" w:rsidP="00660DAE">
            <w:pPr>
              <w:pStyle w:val="Titolo1"/>
              <w:rPr>
                <w:rFonts w:ascii="Trebuchet MS" w:hAnsi="Trebuchet MS"/>
                <w:b w:val="0"/>
                <w:color w:val="auto"/>
                <w:sz w:val="32"/>
                <w:szCs w:val="32"/>
              </w:rPr>
            </w:pPr>
            <w:r w:rsidRPr="00660DAE">
              <w:rPr>
                <w:rFonts w:ascii="Trebuchet MS" w:hAnsi="Trebuchet MS"/>
                <w:b w:val="0"/>
                <w:color w:val="auto"/>
                <w:sz w:val="32"/>
                <w:szCs w:val="32"/>
              </w:rPr>
              <w:t xml:space="preserve">Credito/ </w:t>
            </w:r>
            <w:proofErr w:type="spellStart"/>
            <w:r w:rsidRPr="00660DAE">
              <w:rPr>
                <w:rFonts w:ascii="Trebuchet MS" w:hAnsi="Trebuchet MS"/>
                <w:b w:val="0"/>
                <w:color w:val="auto"/>
                <w:sz w:val="32"/>
                <w:szCs w:val="32"/>
              </w:rPr>
              <w:t>Bankitalia</w:t>
            </w:r>
            <w:proofErr w:type="spellEnd"/>
            <w:r w:rsidRPr="00660DAE">
              <w:rPr>
                <w:rFonts w:ascii="Trebuchet MS" w:hAnsi="Trebuchet MS"/>
                <w:b w:val="0"/>
                <w:color w:val="auto"/>
                <w:sz w:val="32"/>
                <w:szCs w:val="32"/>
              </w:rPr>
              <w:t xml:space="preserve"> mette sotto accusa le carte revolving, tassi fermi e troppo elevati</w:t>
            </w:r>
            <w:r>
              <w:rPr>
                <w:rFonts w:ascii="Trebuchet MS" w:hAnsi="Trebuchet MS"/>
                <w:b w:val="0"/>
                <w:color w:val="auto"/>
                <w:sz w:val="32"/>
                <w:szCs w:val="32"/>
              </w:rPr>
              <w:t xml:space="preserve">. </w:t>
            </w:r>
          </w:p>
          <w:p w:rsidR="00660DAE" w:rsidRDefault="00660DAE" w:rsidP="00660DAE">
            <w:pPr>
              <w:pStyle w:val="Titolo2"/>
            </w:pPr>
            <w:r w:rsidRPr="00660DAE">
              <w:t>Tassi effettivi medi pari al 16,85% nel quarto trimestre del 2011. Serve intervento regolamentare per accelerare il rimborso del capitale, perché la rata può finire per assorbire solo gli interessi e le altre spese</w:t>
            </w:r>
          </w:p>
          <w:p w:rsidR="00660DAE" w:rsidRDefault="00660DAE" w:rsidP="00660DAE">
            <w:bookmarkStart w:id="0" w:name="_GoBack"/>
            <w:bookmarkEnd w:id="0"/>
          </w:p>
          <w:p w:rsidR="00660DAE" w:rsidRPr="00660DAE" w:rsidRDefault="00926B23" w:rsidP="00660DAE">
            <w:pPr>
              <w:pStyle w:val="textarticle"/>
              <w:rPr>
                <w:rFonts w:ascii="Trebuchet MS" w:hAnsi="Trebuchet MS"/>
                <w:sz w:val="22"/>
              </w:rPr>
            </w:pPr>
            <w:r>
              <w:rPr>
                <w:noProof/>
              </w:rPr>
              <w:drawing>
                <wp:anchor distT="0" distB="0" distL="114300" distR="114300" simplePos="0" relativeHeight="251658240" behindDoc="0" locked="0" layoutInCell="1" allowOverlap="1" wp14:anchorId="5B0C63A3" wp14:editId="05574C98">
                  <wp:simplePos x="0" y="0"/>
                  <wp:positionH relativeFrom="column">
                    <wp:align>left</wp:align>
                  </wp:positionH>
                  <wp:positionV relativeFrom="paragraph">
                    <wp:posOffset>-3810</wp:posOffset>
                  </wp:positionV>
                  <wp:extent cx="3068955" cy="2022475"/>
                  <wp:effectExtent l="0" t="0" r="0" b="0"/>
                  <wp:wrapSquare wrapText="bothSides"/>
                  <wp:docPr id="2" name="picture_article" descr="Credito/ Bankitalia mette sotto accusa le carte revolving, tassi fermi e troppo elev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article" descr="Credito/ Bankitalia mette sotto accusa le carte revolving, tassi fermi e troppo eleva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DAE" w:rsidRPr="00660DAE">
              <w:rPr>
                <w:rFonts w:ascii="Trebuchet MS" w:hAnsi="Trebuchet MS"/>
                <w:sz w:val="22"/>
              </w:rPr>
              <w:t xml:space="preserve">Milano, 30 </w:t>
            </w:r>
            <w:proofErr w:type="spellStart"/>
            <w:r w:rsidR="00660DAE" w:rsidRPr="00660DAE">
              <w:rPr>
                <w:rFonts w:ascii="Trebuchet MS" w:hAnsi="Trebuchet MS"/>
                <w:sz w:val="22"/>
              </w:rPr>
              <w:t>mag</w:t>
            </w:r>
            <w:proofErr w:type="spellEnd"/>
            <w:r w:rsidR="00660DAE" w:rsidRPr="00660DAE">
              <w:rPr>
                <w:rFonts w:ascii="Trebuchet MS" w:hAnsi="Trebuchet MS"/>
                <w:sz w:val="22"/>
              </w:rPr>
              <w:t xml:space="preserve">. </w:t>
            </w:r>
            <w:proofErr w:type="spellStart"/>
            <w:r w:rsidR="00660DAE" w:rsidRPr="00660DAE">
              <w:rPr>
                <w:rFonts w:ascii="Trebuchet MS" w:hAnsi="Trebuchet MS"/>
                <w:b/>
                <w:bCs/>
                <w:sz w:val="22"/>
              </w:rPr>
              <w:t>Bankitalia</w:t>
            </w:r>
            <w:proofErr w:type="spellEnd"/>
            <w:r w:rsidR="00660DAE" w:rsidRPr="00660DAE">
              <w:rPr>
                <w:rFonts w:ascii="Trebuchet MS" w:hAnsi="Trebuchet MS"/>
                <w:sz w:val="22"/>
              </w:rPr>
              <w:t xml:space="preserve"> mette sotto accusa </w:t>
            </w:r>
            <w:r w:rsidR="00660DAE" w:rsidRPr="00660DAE">
              <w:rPr>
                <w:rFonts w:ascii="Trebuchet MS" w:hAnsi="Trebuchet MS"/>
                <w:b/>
                <w:bCs/>
                <w:sz w:val="22"/>
              </w:rPr>
              <w:t>le carte revolving</w:t>
            </w:r>
            <w:r w:rsidR="00660DAE" w:rsidRPr="00660DAE">
              <w:rPr>
                <w:rFonts w:ascii="Trebuchet MS" w:hAnsi="Trebuchet MS"/>
                <w:sz w:val="22"/>
              </w:rPr>
              <w:t xml:space="preserve">, quelle cioè che consentono il saldo rateale delle spese. Nel documento di accompagnamento alle proposte per il </w:t>
            </w:r>
            <w:proofErr w:type="spellStart"/>
            <w:r w:rsidR="00660DAE" w:rsidRPr="00660DAE">
              <w:rPr>
                <w:rFonts w:ascii="Trebuchet MS" w:hAnsi="Trebuchet MS"/>
                <w:sz w:val="22"/>
              </w:rPr>
              <w:t>Cicr</w:t>
            </w:r>
            <w:proofErr w:type="spellEnd"/>
            <w:r w:rsidR="00660DAE" w:rsidRPr="00660DAE">
              <w:rPr>
                <w:rFonts w:ascii="Trebuchet MS" w:hAnsi="Trebuchet MS"/>
                <w:sz w:val="22"/>
              </w:rPr>
              <w:t xml:space="preserve"> sulle commissioni di massimo scoperto, i tecnici di Via Nazionale notano che «i tassi di interesse praticati» sulle carte revolving «sono particolarmente elevati: la rilevazione effettuata a fini anti-usura nel quarto trimestre del 2011 ha registrato (per la classe di importo fino a 5 mila euro) tassi di interesse effettivi globali medi del 16,85%: questo valore è il più elevato tra le forme tecniche censite». </w:t>
            </w:r>
            <w:r w:rsidR="00660DAE" w:rsidRPr="00660DAE">
              <w:rPr>
                <w:rFonts w:ascii="Trebuchet MS" w:hAnsi="Trebuchet MS"/>
                <w:sz w:val="22"/>
              </w:rPr>
              <w:br/>
            </w:r>
            <w:r w:rsidR="00660DAE" w:rsidRPr="00660DAE">
              <w:rPr>
                <w:rFonts w:ascii="Trebuchet MS" w:hAnsi="Trebuchet MS"/>
                <w:sz w:val="22"/>
              </w:rPr>
              <w:br/>
              <w:t xml:space="preserve">Inoltre, si legge ancora nel documento, mentre gli altri tassi si sono «almeno in parte adeguati alla riduzione dei tassi di mercato osservata a partire dal 2009, il tasso relativo alle carte revolving è rimasto sostanzialmente invariato. Il livello elevato del tasso </w:t>
            </w:r>
            <w:proofErr w:type="spellStart"/>
            <w:r w:rsidR="00660DAE" w:rsidRPr="00660DAE">
              <w:rPr>
                <w:rFonts w:ascii="Trebuchet MS" w:hAnsi="Trebuchet MS"/>
                <w:sz w:val="22"/>
              </w:rPr>
              <w:t>efettivo</w:t>
            </w:r>
            <w:proofErr w:type="spellEnd"/>
            <w:r w:rsidR="00660DAE" w:rsidRPr="00660DAE">
              <w:rPr>
                <w:rFonts w:ascii="Trebuchet MS" w:hAnsi="Trebuchet MS"/>
                <w:sz w:val="22"/>
              </w:rPr>
              <w:t xml:space="preserve"> medio della carte revolving è probabilmente legato anche alla varietà e alla struttura delle commissioni applicate, che incidono in misura significativa sul livello di questo indicatore di costo». </w:t>
            </w:r>
            <w:r w:rsidR="00660DAE" w:rsidRPr="00660DAE">
              <w:rPr>
                <w:rFonts w:ascii="Trebuchet MS" w:hAnsi="Trebuchet MS"/>
                <w:sz w:val="22"/>
              </w:rPr>
              <w:br/>
            </w:r>
            <w:r w:rsidR="00660DAE" w:rsidRPr="00660DAE">
              <w:rPr>
                <w:rFonts w:ascii="Trebuchet MS" w:hAnsi="Trebuchet MS"/>
                <w:sz w:val="22"/>
              </w:rPr>
              <w:br/>
            </w:r>
            <w:proofErr w:type="spellStart"/>
            <w:r w:rsidR="00660DAE" w:rsidRPr="00660DAE">
              <w:rPr>
                <w:rFonts w:ascii="Trebuchet MS" w:hAnsi="Trebuchet MS"/>
                <w:sz w:val="22"/>
              </w:rPr>
              <w:t>Bankitalia</w:t>
            </w:r>
            <w:proofErr w:type="spellEnd"/>
            <w:r w:rsidR="00660DAE" w:rsidRPr="00660DAE">
              <w:rPr>
                <w:rFonts w:ascii="Trebuchet MS" w:hAnsi="Trebuchet MS"/>
                <w:sz w:val="22"/>
              </w:rPr>
              <w:t xml:space="preserve"> nota comunque che i prestiti erogati con le revolving «rappresentano una quota contenuta (6,8% circa) del totale del credito al consumo erogato dalle banche e dalle società finanziarie a fine 2011». Nonostante questo le carte a rateizzazione presentano una serie di «criticità: il livello subottimale di concorrenza, favorito dalla concentrazione dell'offerta in mano a pochi operatori, le cui condizioni rappresentano un benchmark per gli operatori minori, la contenuta elasticità della domanda al prezzo, fenomeno che accentua il potere di mercato degli intermediari. Come conseguenza di ciò», rilevano in </w:t>
            </w:r>
            <w:proofErr w:type="spellStart"/>
            <w:r w:rsidR="00660DAE" w:rsidRPr="00660DAE">
              <w:rPr>
                <w:rFonts w:ascii="Trebuchet MS" w:hAnsi="Trebuchet MS"/>
                <w:sz w:val="22"/>
              </w:rPr>
              <w:t>Bankitalia</w:t>
            </w:r>
            <w:proofErr w:type="spellEnd"/>
            <w:r w:rsidR="00660DAE" w:rsidRPr="00660DAE">
              <w:rPr>
                <w:rFonts w:ascii="Trebuchet MS" w:hAnsi="Trebuchet MS"/>
                <w:sz w:val="22"/>
              </w:rPr>
              <w:t xml:space="preserve">, «il </w:t>
            </w:r>
            <w:proofErr w:type="spellStart"/>
            <w:r w:rsidR="00660DAE" w:rsidRPr="00660DAE">
              <w:rPr>
                <w:rFonts w:ascii="Trebuchet MS" w:hAnsi="Trebuchet MS"/>
                <w:sz w:val="22"/>
              </w:rPr>
              <w:t>pricing</w:t>
            </w:r>
            <w:proofErr w:type="spellEnd"/>
            <w:r w:rsidR="00660DAE" w:rsidRPr="00660DAE">
              <w:rPr>
                <w:rFonts w:ascii="Trebuchet MS" w:hAnsi="Trebuchet MS"/>
                <w:sz w:val="22"/>
              </w:rPr>
              <w:t xml:space="preserve"> sarebbe poco correlato con il costo del rischio e con quello del </w:t>
            </w:r>
            <w:proofErr w:type="spellStart"/>
            <w:r w:rsidR="00660DAE" w:rsidRPr="00660DAE">
              <w:rPr>
                <w:rFonts w:ascii="Trebuchet MS" w:hAnsi="Trebuchet MS"/>
                <w:sz w:val="22"/>
              </w:rPr>
              <w:t>funding</w:t>
            </w:r>
            <w:proofErr w:type="spellEnd"/>
            <w:r w:rsidR="00660DAE" w:rsidRPr="00660DAE">
              <w:rPr>
                <w:rFonts w:ascii="Trebuchet MS" w:hAnsi="Trebuchet MS"/>
                <w:sz w:val="22"/>
              </w:rPr>
              <w:t xml:space="preserve">». </w:t>
            </w:r>
            <w:r w:rsidR="00660DAE" w:rsidRPr="00660DAE">
              <w:rPr>
                <w:rFonts w:ascii="Trebuchet MS" w:hAnsi="Trebuchet MS"/>
                <w:sz w:val="22"/>
              </w:rPr>
              <w:br/>
            </w:r>
            <w:r w:rsidR="00660DAE" w:rsidRPr="00660DAE">
              <w:rPr>
                <w:rFonts w:ascii="Trebuchet MS" w:hAnsi="Trebuchet MS"/>
                <w:sz w:val="22"/>
              </w:rPr>
              <w:br/>
              <w:t xml:space="preserve">E non basta. Altre «criticità» per le carte revolving derivano dal fatto che «in presenza di rate mensili di importo contenuto, l'entità degli interessi e delle altre spese e commissioni addebitate può rendere difficoltoso il rimborso del capitale o, quantomeno, estremamente incerti i suoi tempi. Raggiunto un determinato livello di utilizzo del fido, infatti, interessi e altre spese possono assorbire una quota rilevante della rata. Inoltre, alimentando il saldo della carta, essi stessi possono concorrere all'insorgere di eventuali sconfinamenti». </w:t>
            </w:r>
            <w:r w:rsidR="00660DAE" w:rsidRPr="00660DAE">
              <w:rPr>
                <w:rFonts w:ascii="Trebuchet MS" w:hAnsi="Trebuchet MS"/>
                <w:sz w:val="22"/>
              </w:rPr>
              <w:br/>
            </w:r>
            <w:r w:rsidR="00660DAE" w:rsidRPr="00660DAE">
              <w:rPr>
                <w:rFonts w:ascii="Trebuchet MS" w:hAnsi="Trebuchet MS"/>
                <w:sz w:val="22"/>
              </w:rPr>
              <w:br/>
              <w:t xml:space="preserve">La rata minima attualmente prevista (dal 3 al 6% del saldo o in ammontare fisso) «non è sempre idonea ad ammortizzare il capitale in un congruo lasso temporale. La clientela», si legge ancora nel documento, «non è perfettamente consapevole di tali problemi, realizzando spesso solo con ritardo che i pagamenti mensili effettuati hanno solo l'effetto di non far lievitare ulteriormente il saldo. Un eventuale intervento regolamentare potrebbe prevenire tali problemi, accelerando il rimborso del capitale e responsabilizzando maggiormente il titolare della carta». </w:t>
            </w:r>
            <w:r w:rsidR="00660DAE" w:rsidRPr="00660DAE">
              <w:rPr>
                <w:rFonts w:ascii="Trebuchet MS" w:hAnsi="Trebuchet MS"/>
                <w:sz w:val="22"/>
              </w:rPr>
              <w:br/>
            </w:r>
            <w:r w:rsidR="00660DAE" w:rsidRPr="00660DAE">
              <w:rPr>
                <w:rFonts w:ascii="Trebuchet MS" w:hAnsi="Trebuchet MS"/>
                <w:sz w:val="22"/>
              </w:rPr>
              <w:br/>
            </w:r>
            <w:r w:rsidR="00660DAE" w:rsidRPr="00660DAE">
              <w:rPr>
                <w:rFonts w:ascii="Trebuchet MS" w:hAnsi="Trebuchet MS"/>
                <w:b/>
                <w:bCs/>
                <w:sz w:val="22"/>
              </w:rPr>
              <w:t xml:space="preserve">FDR </w:t>
            </w:r>
          </w:p>
          <w:p w:rsidR="00660DAE" w:rsidRDefault="00660DAE" w:rsidP="0003011A">
            <w:pPr>
              <w:rPr>
                <w:lang w:eastAsia="it-IT"/>
              </w:rPr>
            </w:pPr>
          </w:p>
          <w:p w:rsidR="0003011A" w:rsidRPr="0003011A" w:rsidRDefault="0003011A" w:rsidP="0003011A">
            <w:pPr>
              <w:rPr>
                <w:lang w:eastAsia="it-IT"/>
              </w:rPr>
            </w:pPr>
          </w:p>
        </w:tc>
      </w:tr>
    </w:tbl>
    <w:p w:rsidR="0003011A" w:rsidRDefault="0003011A" w:rsidP="0003011A">
      <w:pPr>
        <w:tabs>
          <w:tab w:val="center" w:pos="11280"/>
        </w:tabs>
        <w:ind w:left="374" w:right="73"/>
        <w:jc w:val="both"/>
        <w:rPr>
          <w:color w:val="4F6228"/>
        </w:rPr>
      </w:pPr>
    </w:p>
    <w:p w:rsidR="0003011A" w:rsidRDefault="0003011A" w:rsidP="0003011A">
      <w:pPr>
        <w:tabs>
          <w:tab w:val="center" w:pos="11280"/>
        </w:tabs>
        <w:ind w:left="374" w:right="73"/>
        <w:jc w:val="both"/>
        <w:rPr>
          <w:color w:val="4F6228"/>
        </w:rPr>
      </w:pPr>
    </w:p>
    <w:p w:rsidR="005D2D04" w:rsidRDefault="005D2D04">
      <w:pPr>
        <w:tabs>
          <w:tab w:val="center" w:pos="11280"/>
        </w:tabs>
        <w:ind w:left="1440" w:right="73"/>
        <w:jc w:val="both"/>
        <w:rPr>
          <w:rFonts w:eastAsia="Times New Roman"/>
          <w:color w:val="003300"/>
        </w:rPr>
      </w:pPr>
    </w:p>
    <w:p w:rsidR="005D2D04" w:rsidRDefault="005D2D04">
      <w:pPr>
        <w:tabs>
          <w:tab w:val="center" w:pos="11280"/>
        </w:tabs>
        <w:ind w:left="1440" w:right="73"/>
        <w:jc w:val="both"/>
        <w:rPr>
          <w:rFonts w:eastAsia="Times New Roman"/>
          <w:color w:val="003300"/>
        </w:rPr>
      </w:pPr>
    </w:p>
    <w:p w:rsidR="005D2D04" w:rsidRDefault="005D2D04">
      <w:pPr>
        <w:tabs>
          <w:tab w:val="center" w:pos="11280"/>
        </w:tabs>
        <w:ind w:left="1440" w:right="73"/>
        <w:jc w:val="both"/>
        <w:rPr>
          <w:rFonts w:eastAsia="Times New Roman"/>
          <w:color w:val="003300"/>
        </w:rPr>
      </w:pPr>
    </w:p>
    <w:p w:rsidR="005D2D04" w:rsidRDefault="005D2D04">
      <w:pPr>
        <w:tabs>
          <w:tab w:val="center" w:pos="11280"/>
        </w:tabs>
        <w:ind w:left="1440" w:right="73"/>
        <w:jc w:val="both"/>
        <w:rPr>
          <w:rFonts w:eastAsia="Times New Roman"/>
          <w:color w:val="003300"/>
        </w:rPr>
      </w:pPr>
    </w:p>
    <w:sectPr w:rsidR="005D2D04">
      <w:pgSz w:w="11906" w:h="16838"/>
      <w:pgMar w:top="1134" w:right="138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8"/>
  <w:proofState w:spelling="clean"/>
  <w:attachedTemplate r:id="rId1"/>
  <w:defaultTabStop w:val="708"/>
  <w:hyphenationZone w:val="280"/>
  <w:drawingGridHorizontalSpacing w:val="120"/>
  <w:displayHorizontalDrawingGridEvery w:val="2"/>
  <w:displayVerticalDrawingGridEvery w:val="2"/>
  <w:characterSpacingControl w:val="doNotCompress"/>
  <w:savePreviewPicture/>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AE"/>
    <w:rsid w:val="0003011A"/>
    <w:rsid w:val="00061532"/>
    <w:rsid w:val="000C1B32"/>
    <w:rsid w:val="00284CC0"/>
    <w:rsid w:val="002B71C6"/>
    <w:rsid w:val="002C150C"/>
    <w:rsid w:val="00583830"/>
    <w:rsid w:val="005D2D04"/>
    <w:rsid w:val="005D77C4"/>
    <w:rsid w:val="00660DAE"/>
    <w:rsid w:val="007D2843"/>
    <w:rsid w:val="00926B23"/>
    <w:rsid w:val="00B4159C"/>
    <w:rsid w:val="00BF0C48"/>
    <w:rsid w:val="00C37276"/>
    <w:rsid w:val="00DE42DA"/>
    <w:rsid w:val="00EB1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d7e9d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Trebuchet MS" w:hAnsi="Trebuchet MS" w:cs="Tahoma"/>
      <w:sz w:val="22"/>
      <w:szCs w:val="22"/>
      <w:lang w:eastAsia="zh-CN"/>
    </w:rPr>
  </w:style>
  <w:style w:type="paragraph" w:styleId="Titolo1">
    <w:name w:val="heading 1"/>
    <w:basedOn w:val="Normale"/>
    <w:next w:val="Normale"/>
    <w:link w:val="Titolo1Carattere"/>
    <w:autoRedefine/>
    <w:qFormat/>
    <w:rsid w:val="00061532"/>
    <w:pPr>
      <w:keepNext/>
      <w:spacing w:before="240" w:after="60"/>
      <w:jc w:val="center"/>
      <w:outlineLvl w:val="0"/>
    </w:pPr>
    <w:rPr>
      <w:rFonts w:ascii="Agency FB" w:eastAsia="Times New Roman" w:hAnsi="Agency FB" w:cs="Arial"/>
      <w:b/>
      <w:bCs/>
      <w:color w:val="C00000"/>
      <w:kern w:val="32"/>
      <w:sz w:val="24"/>
      <w:szCs w:val="30"/>
    </w:rPr>
  </w:style>
  <w:style w:type="paragraph" w:styleId="Titolo2">
    <w:name w:val="heading 2"/>
    <w:basedOn w:val="Normale"/>
    <w:next w:val="Normale"/>
    <w:link w:val="Titolo2Carattere"/>
    <w:autoRedefine/>
    <w:qFormat/>
    <w:rsid w:val="00660DAE"/>
    <w:pPr>
      <w:keepNext/>
      <w:spacing w:before="240" w:after="60"/>
      <w:jc w:val="center"/>
      <w:outlineLvl w:val="1"/>
    </w:pPr>
    <w:rPr>
      <w:rFonts w:eastAsia="Times New Roman" w:cs="Arial"/>
      <w:bCs/>
      <w:iCs/>
      <w:sz w:val="24"/>
      <w:szCs w:val="24"/>
    </w:rPr>
  </w:style>
  <w:style w:type="paragraph" w:styleId="Titolo3">
    <w:name w:val="heading 3"/>
    <w:basedOn w:val="Normale"/>
    <w:next w:val="Normale"/>
    <w:link w:val="Titolo3Carattere"/>
    <w:autoRedefine/>
    <w:qFormat/>
    <w:pPr>
      <w:keepNext/>
      <w:spacing w:before="240" w:after="60"/>
      <w:outlineLvl w:val="2"/>
    </w:pPr>
    <w:rPr>
      <w:rFonts w:eastAsia="Times New Roman" w:cs="Arial"/>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8000"/>
      <w:u w:val="single"/>
    </w:rPr>
  </w:style>
  <w:style w:type="character" w:styleId="Collegamentovisitato">
    <w:name w:val="FollowedHyperlink"/>
    <w:rPr>
      <w:color w:val="800080"/>
      <w:u w:val="single"/>
    </w:rPr>
  </w:style>
  <w:style w:type="character" w:customStyle="1" w:styleId="Titolo1Carattere">
    <w:name w:val="Titolo 1 Carattere"/>
    <w:link w:val="Titolo1"/>
    <w:rsid w:val="00061532"/>
    <w:rPr>
      <w:rFonts w:ascii="Agency FB" w:eastAsia="Times New Roman" w:hAnsi="Agency FB" w:cs="Arial"/>
      <w:b/>
      <w:bCs/>
      <w:color w:val="C00000"/>
      <w:kern w:val="32"/>
      <w:sz w:val="24"/>
      <w:szCs w:val="30"/>
      <w:lang w:eastAsia="zh-CN"/>
    </w:rPr>
  </w:style>
  <w:style w:type="character" w:customStyle="1" w:styleId="Titolo2Carattere">
    <w:name w:val="Titolo 2 Carattere"/>
    <w:link w:val="Titolo2"/>
    <w:rsid w:val="00660DAE"/>
    <w:rPr>
      <w:rFonts w:ascii="Trebuchet MS" w:eastAsia="Times New Roman" w:hAnsi="Trebuchet MS" w:cs="Arial"/>
      <w:bCs/>
      <w:iCs/>
      <w:sz w:val="24"/>
      <w:szCs w:val="24"/>
      <w:lang w:eastAsia="zh-CN"/>
    </w:rPr>
  </w:style>
  <w:style w:type="character" w:customStyle="1" w:styleId="Titolo3Carattere">
    <w:name w:val="Titolo 3 Carattere"/>
    <w:link w:val="Titolo3"/>
    <w:rPr>
      <w:rFonts w:ascii="Cambria" w:eastAsia="Times New Roman" w:hAnsi="Cambria" w:cs="Times New Roman"/>
      <w:b/>
      <w:bCs/>
      <w:color w:val="4F81BD"/>
      <w:sz w:val="22"/>
      <w:szCs w:val="22"/>
      <w:lang w:eastAsia="zh-CN"/>
    </w:rPr>
  </w:style>
  <w:style w:type="paragraph" w:styleId="Sommario1">
    <w:name w:val="toc 1"/>
    <w:basedOn w:val="Normale"/>
    <w:next w:val="Normale"/>
    <w:autoRedefine/>
    <w:semiHidden/>
  </w:style>
  <w:style w:type="paragraph" w:styleId="Sommario3">
    <w:name w:val="toc 3"/>
    <w:basedOn w:val="Normale"/>
    <w:next w:val="Normale"/>
    <w:autoRedefine/>
    <w:semiHidden/>
    <w:pPr>
      <w:ind w:left="440"/>
    </w:pPr>
  </w:style>
  <w:style w:type="paragraph" w:styleId="Testofumetto">
    <w:name w:val="Balloon Text"/>
    <w:basedOn w:val="Normale"/>
    <w:link w:val="TestofumettoCarattere"/>
    <w:semiHidden/>
    <w:rPr>
      <w:rFonts w:ascii="Tahoma" w:hAnsi="Tahoma"/>
      <w:sz w:val="16"/>
      <w:szCs w:val="16"/>
    </w:rPr>
  </w:style>
  <w:style w:type="character" w:customStyle="1" w:styleId="TestofumettoCarattere">
    <w:name w:val="Testo fumetto Carattere"/>
    <w:link w:val="Testofumetto"/>
    <w:rPr>
      <w:rFonts w:ascii="Tahoma" w:hAnsi="Tahoma" w:cs="Tahoma"/>
      <w:sz w:val="16"/>
      <w:szCs w:val="16"/>
      <w:lang w:eastAsia="zh-CN"/>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article">
    <w:name w:val="text_article"/>
    <w:basedOn w:val="Normale"/>
    <w:rsid w:val="00660DAE"/>
    <w:pPr>
      <w:spacing w:before="100" w:beforeAutospacing="1" w:after="100" w:afterAutospacing="1"/>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Trebuchet MS" w:hAnsi="Trebuchet MS" w:cs="Tahoma"/>
      <w:sz w:val="22"/>
      <w:szCs w:val="22"/>
      <w:lang w:eastAsia="zh-CN"/>
    </w:rPr>
  </w:style>
  <w:style w:type="paragraph" w:styleId="Titolo1">
    <w:name w:val="heading 1"/>
    <w:basedOn w:val="Normale"/>
    <w:next w:val="Normale"/>
    <w:link w:val="Titolo1Carattere"/>
    <w:autoRedefine/>
    <w:qFormat/>
    <w:rsid w:val="00061532"/>
    <w:pPr>
      <w:keepNext/>
      <w:spacing w:before="240" w:after="60"/>
      <w:jc w:val="center"/>
      <w:outlineLvl w:val="0"/>
    </w:pPr>
    <w:rPr>
      <w:rFonts w:ascii="Agency FB" w:eastAsia="Times New Roman" w:hAnsi="Agency FB" w:cs="Arial"/>
      <w:b/>
      <w:bCs/>
      <w:color w:val="C00000"/>
      <w:kern w:val="32"/>
      <w:sz w:val="24"/>
      <w:szCs w:val="30"/>
    </w:rPr>
  </w:style>
  <w:style w:type="paragraph" w:styleId="Titolo2">
    <w:name w:val="heading 2"/>
    <w:basedOn w:val="Normale"/>
    <w:next w:val="Normale"/>
    <w:link w:val="Titolo2Carattere"/>
    <w:autoRedefine/>
    <w:qFormat/>
    <w:rsid w:val="00660DAE"/>
    <w:pPr>
      <w:keepNext/>
      <w:spacing w:before="240" w:after="60"/>
      <w:jc w:val="center"/>
      <w:outlineLvl w:val="1"/>
    </w:pPr>
    <w:rPr>
      <w:rFonts w:eastAsia="Times New Roman" w:cs="Arial"/>
      <w:bCs/>
      <w:iCs/>
      <w:sz w:val="24"/>
      <w:szCs w:val="24"/>
    </w:rPr>
  </w:style>
  <w:style w:type="paragraph" w:styleId="Titolo3">
    <w:name w:val="heading 3"/>
    <w:basedOn w:val="Normale"/>
    <w:next w:val="Normale"/>
    <w:link w:val="Titolo3Carattere"/>
    <w:autoRedefine/>
    <w:qFormat/>
    <w:pPr>
      <w:keepNext/>
      <w:spacing w:before="240" w:after="60"/>
      <w:outlineLvl w:val="2"/>
    </w:pPr>
    <w:rPr>
      <w:rFonts w:eastAsia="Times New Roman" w:cs="Arial"/>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8000"/>
      <w:u w:val="single"/>
    </w:rPr>
  </w:style>
  <w:style w:type="character" w:styleId="Collegamentovisitato">
    <w:name w:val="FollowedHyperlink"/>
    <w:rPr>
      <w:color w:val="800080"/>
      <w:u w:val="single"/>
    </w:rPr>
  </w:style>
  <w:style w:type="character" w:customStyle="1" w:styleId="Titolo1Carattere">
    <w:name w:val="Titolo 1 Carattere"/>
    <w:link w:val="Titolo1"/>
    <w:rsid w:val="00061532"/>
    <w:rPr>
      <w:rFonts w:ascii="Agency FB" w:eastAsia="Times New Roman" w:hAnsi="Agency FB" w:cs="Arial"/>
      <w:b/>
      <w:bCs/>
      <w:color w:val="C00000"/>
      <w:kern w:val="32"/>
      <w:sz w:val="24"/>
      <w:szCs w:val="30"/>
      <w:lang w:eastAsia="zh-CN"/>
    </w:rPr>
  </w:style>
  <w:style w:type="character" w:customStyle="1" w:styleId="Titolo2Carattere">
    <w:name w:val="Titolo 2 Carattere"/>
    <w:link w:val="Titolo2"/>
    <w:rsid w:val="00660DAE"/>
    <w:rPr>
      <w:rFonts w:ascii="Trebuchet MS" w:eastAsia="Times New Roman" w:hAnsi="Trebuchet MS" w:cs="Arial"/>
      <w:bCs/>
      <w:iCs/>
      <w:sz w:val="24"/>
      <w:szCs w:val="24"/>
      <w:lang w:eastAsia="zh-CN"/>
    </w:rPr>
  </w:style>
  <w:style w:type="character" w:customStyle="1" w:styleId="Titolo3Carattere">
    <w:name w:val="Titolo 3 Carattere"/>
    <w:link w:val="Titolo3"/>
    <w:rPr>
      <w:rFonts w:ascii="Cambria" w:eastAsia="Times New Roman" w:hAnsi="Cambria" w:cs="Times New Roman"/>
      <w:b/>
      <w:bCs/>
      <w:color w:val="4F81BD"/>
      <w:sz w:val="22"/>
      <w:szCs w:val="22"/>
      <w:lang w:eastAsia="zh-CN"/>
    </w:rPr>
  </w:style>
  <w:style w:type="paragraph" w:styleId="Sommario1">
    <w:name w:val="toc 1"/>
    <w:basedOn w:val="Normale"/>
    <w:next w:val="Normale"/>
    <w:autoRedefine/>
    <w:semiHidden/>
  </w:style>
  <w:style w:type="paragraph" w:styleId="Sommario3">
    <w:name w:val="toc 3"/>
    <w:basedOn w:val="Normale"/>
    <w:next w:val="Normale"/>
    <w:autoRedefine/>
    <w:semiHidden/>
    <w:pPr>
      <w:ind w:left="440"/>
    </w:pPr>
  </w:style>
  <w:style w:type="paragraph" w:styleId="Testofumetto">
    <w:name w:val="Balloon Text"/>
    <w:basedOn w:val="Normale"/>
    <w:link w:val="TestofumettoCarattere"/>
    <w:semiHidden/>
    <w:rPr>
      <w:rFonts w:ascii="Tahoma" w:hAnsi="Tahoma"/>
      <w:sz w:val="16"/>
      <w:szCs w:val="16"/>
    </w:rPr>
  </w:style>
  <w:style w:type="character" w:customStyle="1" w:styleId="TestofumettoCarattere">
    <w:name w:val="Testo fumetto Carattere"/>
    <w:link w:val="Testofumetto"/>
    <w:rPr>
      <w:rFonts w:ascii="Tahoma" w:hAnsi="Tahoma" w:cs="Tahoma"/>
      <w:sz w:val="16"/>
      <w:szCs w:val="16"/>
      <w:lang w:eastAsia="zh-CN"/>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article">
    <w:name w:val="text_article"/>
    <w:basedOn w:val="Normale"/>
    <w:rsid w:val="00660DAE"/>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654">
      <w:bodyDiv w:val="1"/>
      <w:marLeft w:val="0"/>
      <w:marRight w:val="0"/>
      <w:marTop w:val="0"/>
      <w:marBottom w:val="0"/>
      <w:divBdr>
        <w:top w:val="none" w:sz="0" w:space="0" w:color="auto"/>
        <w:left w:val="none" w:sz="0" w:space="0" w:color="auto"/>
        <w:bottom w:val="none" w:sz="0" w:space="0" w:color="auto"/>
        <w:right w:val="none" w:sz="0" w:space="0" w:color="auto"/>
      </w:divBdr>
      <w:divsChild>
        <w:div w:id="1616519272">
          <w:marLeft w:val="0"/>
          <w:marRight w:val="0"/>
          <w:marTop w:val="0"/>
          <w:marBottom w:val="0"/>
          <w:divBdr>
            <w:top w:val="none" w:sz="0" w:space="0" w:color="auto"/>
            <w:left w:val="none" w:sz="0" w:space="0" w:color="auto"/>
            <w:bottom w:val="none" w:sz="0" w:space="0" w:color="auto"/>
            <w:right w:val="none" w:sz="0" w:space="0" w:color="auto"/>
          </w:divBdr>
        </w:div>
        <w:div w:id="13895014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auronovelli.it/ICTU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uronovelli.it/Index.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elli\Desktop\MN\MODELLO%20DOCUMENTAZIONE%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DOCUMENTAZIONE +</Template>
  <TotalTime>4</TotalTime>
  <Pages>1</Pages>
  <Words>525</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PRIVILEGIA NE IRROGANTO</vt:lpstr>
    </vt:vector>
  </TitlesOfParts>
  <Company/>
  <LinksUpToDate>false</LinksUpToDate>
  <CharactersWithSpaces>3511</CharactersWithSpaces>
  <SharedDoc>false</SharedDoc>
  <HLinks>
    <vt:vector size="12" baseType="variant">
      <vt:variant>
        <vt:i4>720980</vt:i4>
      </vt:variant>
      <vt:variant>
        <vt:i4>3</vt:i4>
      </vt:variant>
      <vt:variant>
        <vt:i4>0</vt:i4>
      </vt:variant>
      <vt:variant>
        <vt:i4>5</vt:i4>
      </vt:variant>
      <vt:variant>
        <vt:lpwstr>http://www.mauronovelli.it/ICTUS.htm</vt:lpwstr>
      </vt:variant>
      <vt:variant>
        <vt:lpwstr/>
      </vt:variant>
      <vt:variant>
        <vt:i4>1048649</vt:i4>
      </vt:variant>
      <vt:variant>
        <vt:i4>0</vt:i4>
      </vt:variant>
      <vt:variant>
        <vt:i4>0</vt:i4>
      </vt:variant>
      <vt:variant>
        <vt:i4>5</vt:i4>
      </vt:variant>
      <vt:variant>
        <vt:lpwstr>http://www.mauronovelli.it/Index.htm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PRIVILEGIA NE IRROGANTO</dc:title>
  <dc:creator>Mauro Novelli</dc:creator>
  <cp:lastModifiedBy>Mauro Novelli</cp:lastModifiedBy>
  <cp:revision>2</cp:revision>
  <cp:lastPrinted>2007-01-17T15:25:00Z</cp:lastPrinted>
  <dcterms:created xsi:type="dcterms:W3CDTF">2012-06-15T12:45:00Z</dcterms:created>
  <dcterms:modified xsi:type="dcterms:W3CDTF">2012-06-15T12:49:00Z</dcterms:modified>
</cp:coreProperties>
</file>